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798" w:rsidRPr="00B933EC" w:rsidRDefault="004567B9" w:rsidP="00BA401F">
      <w:pPr>
        <w:spacing w:line="228" w:lineRule="auto"/>
        <w:jc w:val="center"/>
        <w:rPr>
          <w:rFonts w:ascii="Calibri" w:hAnsi="Calibri"/>
          <w:b/>
        </w:rPr>
      </w:pPr>
      <w:r w:rsidRPr="00B933EC">
        <w:rPr>
          <w:rFonts w:ascii="Calibri" w:hAnsi="Calibri"/>
          <w:b/>
        </w:rPr>
        <w:t>Alexander Campbell and his relatio</w:t>
      </w:r>
      <w:r w:rsidR="00B933EC">
        <w:rPr>
          <w:rFonts w:ascii="Calibri" w:hAnsi="Calibri"/>
          <w:b/>
        </w:rPr>
        <w:t>nship to the Baptists, 1813-1831</w:t>
      </w:r>
    </w:p>
    <w:p w:rsidR="004567B9" w:rsidRDefault="004567B9" w:rsidP="00B933EC">
      <w:pPr>
        <w:spacing w:line="228" w:lineRule="auto"/>
        <w:rPr>
          <w:rFonts w:ascii="Calibri" w:hAnsi="Calibri"/>
        </w:rPr>
      </w:pPr>
    </w:p>
    <w:p w:rsidR="004567B9" w:rsidRDefault="004567B9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>1813-1823</w:t>
      </w:r>
    </w:p>
    <w:p w:rsidR="004567B9" w:rsidRDefault="004567B9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>1812, baptism, immersion question settled</w:t>
      </w:r>
    </w:p>
    <w:p w:rsidR="004567B9" w:rsidRDefault="004567B9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>Intended to unite with Baptists, but disliked organizational controls</w:t>
      </w:r>
    </w:p>
    <w:p w:rsidR="004567B9" w:rsidRDefault="004567B9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>Fall 1812, attended Redstone Baptist Association, invited to preach</w:t>
      </w:r>
    </w:p>
    <w:p w:rsidR="004567B9" w:rsidRDefault="004567B9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>Brush Run church was invited into (and accepted) Redstone Association</w:t>
      </w:r>
    </w:p>
    <w:p w:rsidR="004567B9" w:rsidRDefault="00DA28A0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>CAW (1809), constituted itself as church (1811), thus the Brush Run church</w:t>
      </w:r>
    </w:p>
    <w:p w:rsidR="00DA28A0" w:rsidRDefault="00DA28A0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>At first meeting of Brush Run, 3 non-immersed refused communion, were immersed</w:t>
      </w:r>
    </w:p>
    <w:p w:rsidR="00DA28A0" w:rsidRDefault="00DA28A0" w:rsidP="00B933EC">
      <w:pPr>
        <w:spacing w:line="228" w:lineRule="auto"/>
        <w:ind w:firstLine="720"/>
        <w:rPr>
          <w:rFonts w:ascii="Calibri" w:hAnsi="Calibri"/>
        </w:rPr>
      </w:pPr>
      <w:r>
        <w:rPr>
          <w:rFonts w:ascii="Calibri" w:hAnsi="Calibri"/>
        </w:rPr>
        <w:t>1811, married Margaret Brown; preaching tour to Ohio</w:t>
      </w:r>
    </w:p>
    <w:p w:rsidR="00DA28A0" w:rsidRDefault="00DA28A0" w:rsidP="00B933EC">
      <w:pPr>
        <w:spacing w:line="228" w:lineRule="auto"/>
        <w:rPr>
          <w:rFonts w:ascii="Calibri" w:hAnsi="Calibri"/>
        </w:rPr>
      </w:pPr>
    </w:p>
    <w:p w:rsidR="00DA28A0" w:rsidRDefault="00DA28A0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>1813-1823</w:t>
      </w:r>
    </w:p>
    <w:p w:rsidR="00DA28A0" w:rsidRDefault="00BA401F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>1813, a</w:t>
      </w:r>
      <w:r w:rsidR="00DA28A0">
        <w:rPr>
          <w:rFonts w:ascii="Calibri" w:hAnsi="Calibri"/>
        </w:rPr>
        <w:t>ccepted to Redstone, but wrote 8-10 pages of own religious ideas and conditions, loyalty to Scripture</w:t>
      </w:r>
    </w:p>
    <w:p w:rsidR="00DA28A0" w:rsidRDefault="00DA28A0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>Campbell thought some Baptists would not accept them</w:t>
      </w:r>
    </w:p>
    <w:p w:rsidR="00DA28A0" w:rsidRDefault="00DA28A0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>1816, sermon on the law caused much discussion</w:t>
      </w:r>
    </w:p>
    <w:p w:rsidR="00DA28A0" w:rsidRDefault="00DA28A0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>1818, Campbell began Buffalo Seminary</w:t>
      </w:r>
    </w:p>
    <w:p w:rsidR="00DA28A0" w:rsidRDefault="00DA28A0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>1820, Walker debate</w:t>
      </w:r>
    </w:p>
    <w:p w:rsidR="00DA28A0" w:rsidRDefault="00DA28A0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 xml:space="preserve">1823, </w:t>
      </w:r>
      <w:proofErr w:type="spellStart"/>
      <w:r>
        <w:rPr>
          <w:rFonts w:ascii="Calibri" w:hAnsi="Calibri"/>
        </w:rPr>
        <w:t>McCalla</w:t>
      </w:r>
      <w:proofErr w:type="spellEnd"/>
      <w:r>
        <w:rPr>
          <w:rFonts w:ascii="Calibri" w:hAnsi="Calibri"/>
        </w:rPr>
        <w:t xml:space="preserve"> debate</w:t>
      </w:r>
    </w:p>
    <w:p w:rsidR="00DA28A0" w:rsidRDefault="00DA28A0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>Campbell invited to go to Western Reserve, ARM was expanding</w:t>
      </w:r>
    </w:p>
    <w:p w:rsidR="00DA28A0" w:rsidRDefault="00DA28A0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1823,</w:t>
      </w:r>
      <w:proofErr w:type="gramEnd"/>
      <w:r>
        <w:rPr>
          <w:rFonts w:ascii="Calibri" w:hAnsi="Calibri"/>
        </w:rPr>
        <w:t xml:space="preserve"> encouraged to join Mahoning Association where the Association had relinquished all supervision over the churches, churches were independent, was a cooperative organization</w:t>
      </w:r>
    </w:p>
    <w:p w:rsidR="00DA28A0" w:rsidRDefault="00DA28A0" w:rsidP="00B933EC">
      <w:pPr>
        <w:spacing w:line="228" w:lineRule="auto"/>
        <w:rPr>
          <w:rFonts w:ascii="Calibri" w:hAnsi="Calibri"/>
        </w:rPr>
      </w:pPr>
    </w:p>
    <w:p w:rsidR="00DA28A0" w:rsidRDefault="00DA28A0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>1824-</w:t>
      </w:r>
      <w:r w:rsidR="00F72344">
        <w:rPr>
          <w:rFonts w:ascii="Calibri" w:hAnsi="Calibri"/>
        </w:rPr>
        <w:t>18</w:t>
      </w:r>
      <w:r w:rsidR="00B933EC">
        <w:rPr>
          <w:rFonts w:ascii="Calibri" w:hAnsi="Calibri"/>
        </w:rPr>
        <w:t>31</w:t>
      </w:r>
    </w:p>
    <w:p w:rsidR="00DA28A0" w:rsidRDefault="00DA28A0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 xml:space="preserve">1824, Baptists contending with Methodists, Henley got copy of </w:t>
      </w:r>
      <w:proofErr w:type="spellStart"/>
      <w:r>
        <w:rPr>
          <w:rFonts w:ascii="Calibri" w:hAnsi="Calibri"/>
        </w:rPr>
        <w:t>McCalla</w:t>
      </w:r>
      <w:proofErr w:type="spellEnd"/>
      <w:r>
        <w:rPr>
          <w:rFonts w:ascii="Calibri" w:hAnsi="Calibri"/>
        </w:rPr>
        <w:t xml:space="preserve"> debate</w:t>
      </w:r>
    </w:p>
    <w:p w:rsidR="00DA28A0" w:rsidRDefault="00DA28A0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>Henley was connected with Dover Association, which met at Upper Essex in 1825</w:t>
      </w:r>
    </w:p>
    <w:p w:rsidR="00DA28A0" w:rsidRDefault="00DA28A0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</w:r>
      <w:r w:rsidR="00F72344">
        <w:rPr>
          <w:rFonts w:ascii="Calibri" w:hAnsi="Calibri"/>
        </w:rPr>
        <w:t xml:space="preserve">1825, </w:t>
      </w:r>
      <w:r>
        <w:rPr>
          <w:rFonts w:ascii="Calibri" w:hAnsi="Calibri"/>
        </w:rPr>
        <w:t>Henley invited Campbell to attend</w:t>
      </w:r>
    </w:p>
    <w:p w:rsidR="00DA28A0" w:rsidRDefault="00DA28A0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</w:r>
      <w:r w:rsidR="00F72344">
        <w:rPr>
          <w:rFonts w:ascii="Calibri" w:hAnsi="Calibri"/>
        </w:rPr>
        <w:t xml:space="preserve">1825, </w:t>
      </w:r>
      <w:r>
        <w:rPr>
          <w:rFonts w:ascii="Calibri" w:hAnsi="Calibri"/>
        </w:rPr>
        <w:t>Campbell spoke on the “principles of the Restoration Movement”, question on minds of most Baptists was whether Campbell was sound</w:t>
      </w:r>
    </w:p>
    <w:p w:rsidR="00DA28A0" w:rsidRDefault="00DA28A0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>Henley did not totally agree with Baptists views, at Upper Essex preached his new views</w:t>
      </w:r>
    </w:p>
    <w:p w:rsidR="004567B9" w:rsidRDefault="004567B9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</w:r>
      <w:r w:rsidR="00F72344">
        <w:rPr>
          <w:rFonts w:ascii="Calibri" w:hAnsi="Calibri"/>
        </w:rPr>
        <w:t>The Salem church (Andrew Broaddus) sent letter to Henley disapproving of point that “sinner could repent and belief prior to Holy Spirit influence”</w:t>
      </w:r>
    </w:p>
    <w:p w:rsidR="00F72344" w:rsidRDefault="00F72344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 xml:space="preserve">Henley responded that in searching all of Scripture, there was not example of giving the Holy Spirit before believing. </w:t>
      </w:r>
    </w:p>
    <w:p w:rsidR="00F72344" w:rsidRDefault="00F72344" w:rsidP="00B933EC">
      <w:pPr>
        <w:spacing w:line="228" w:lineRule="auto"/>
        <w:rPr>
          <w:rFonts w:ascii="Calibri" w:hAnsi="Calibri"/>
        </w:rPr>
      </w:pPr>
    </w:p>
    <w:p w:rsidR="00F72344" w:rsidRDefault="00B933EC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>1824-1831</w:t>
      </w:r>
    </w:p>
    <w:p w:rsidR="00F72344" w:rsidRDefault="00F72344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 xml:space="preserve">After trial at Essex church, Henley was removed by one vote, </w:t>
      </w:r>
      <w:proofErr w:type="gramStart"/>
      <w:r>
        <w:rPr>
          <w:rFonts w:ascii="Calibri" w:hAnsi="Calibri"/>
        </w:rPr>
        <w:t>then</w:t>
      </w:r>
      <w:proofErr w:type="gramEnd"/>
      <w:r>
        <w:rPr>
          <w:rFonts w:ascii="Calibri" w:hAnsi="Calibri"/>
        </w:rPr>
        <w:t xml:space="preserve"> unanimously asked to preach for them</w:t>
      </w:r>
    </w:p>
    <w:p w:rsidR="00F72344" w:rsidRDefault="00F72344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>At another trial in 1829, dismissal letter was proposed and refused, but began to preach cause of restoration.</w:t>
      </w:r>
    </w:p>
    <w:p w:rsidR="00F72344" w:rsidRDefault="00F72344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>1825, Campbell attended Goshen Association and Dover Association., preached 3 hours at Goshen</w:t>
      </w:r>
    </w:p>
    <w:p w:rsidR="00F72344" w:rsidRDefault="00F72344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>Christian Baptist was widely read in eastern Virginia, report on Dover Association meeting was titl</w:t>
      </w:r>
      <w:r w:rsidR="00B933EC">
        <w:rPr>
          <w:rFonts w:ascii="Calibri" w:hAnsi="Calibri"/>
        </w:rPr>
        <w:t>ed “Trouble in a Hopeful church</w:t>
      </w:r>
      <w:r>
        <w:rPr>
          <w:rFonts w:ascii="Calibri" w:hAnsi="Calibri"/>
        </w:rPr>
        <w:t>”</w:t>
      </w:r>
    </w:p>
    <w:p w:rsidR="00F72344" w:rsidRDefault="00B933EC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>1824-1831</w:t>
      </w:r>
    </w:p>
    <w:p w:rsidR="00F72344" w:rsidRDefault="00F72344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>1828, Reformers withdrew and formed Bethany church in eastern Virginia</w:t>
      </w:r>
    </w:p>
    <w:p w:rsidR="00F72344" w:rsidRDefault="00F72344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lastRenderedPageBreak/>
        <w:tab/>
        <w:t>Baptists began Religious Herald to counteract Christian Baptist</w:t>
      </w:r>
    </w:p>
    <w:p w:rsidR="00F72344" w:rsidRDefault="00F72344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>1829-1830, Campbell was representative to Virginia Constitutional Convention</w:t>
      </w:r>
    </w:p>
    <w:p w:rsidR="00F72344" w:rsidRDefault="00F72344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>Spoke every Sunday at First Baptist in Richmond, in January 1830 spoke on the same Sunday at Bethany and at Upper Essex</w:t>
      </w:r>
    </w:p>
    <w:p w:rsidR="00F72344" w:rsidRDefault="00F72344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>About a dozen churches in the Dover Association favored reform</w:t>
      </w:r>
    </w:p>
    <w:p w:rsidR="00F72344" w:rsidRDefault="00F72344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</w:r>
      <w:proofErr w:type="spellStart"/>
      <w:r>
        <w:rPr>
          <w:rFonts w:ascii="Calibri" w:hAnsi="Calibri"/>
        </w:rPr>
        <w:t>Abner</w:t>
      </w:r>
      <w:proofErr w:type="spellEnd"/>
      <w:r>
        <w:rPr>
          <w:rFonts w:ascii="Calibri" w:hAnsi="Calibri"/>
        </w:rPr>
        <w:t xml:space="preserve"> Clapton, clerk of Appomattox Association, began to attack Campbell in early 1830, “mischievous </w:t>
      </w:r>
      <w:r w:rsidR="00184EC0">
        <w:rPr>
          <w:rFonts w:ascii="Calibri" w:hAnsi="Calibri"/>
        </w:rPr>
        <w:t>influence causing envy, strife and division”</w:t>
      </w:r>
    </w:p>
    <w:p w:rsidR="00184EC0" w:rsidRDefault="00184EC0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>Cited “Beaver anathema”, discounted “Living Oracles” and urged that no association let reformers in.</w:t>
      </w:r>
    </w:p>
    <w:p w:rsidR="00184EC0" w:rsidRDefault="00184EC0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 xml:space="preserve">Impossible, for example, the </w:t>
      </w:r>
      <w:proofErr w:type="spellStart"/>
      <w:r>
        <w:rPr>
          <w:rFonts w:ascii="Calibri" w:hAnsi="Calibri"/>
        </w:rPr>
        <w:t>Meherrin</w:t>
      </w:r>
      <w:proofErr w:type="spellEnd"/>
      <w:r>
        <w:rPr>
          <w:rFonts w:ascii="Calibri" w:hAnsi="Calibri"/>
        </w:rPr>
        <w:t xml:space="preserve"> Association was dominated by Reformers</w:t>
      </w:r>
    </w:p>
    <w:p w:rsidR="00184EC0" w:rsidRDefault="00184EC0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>By the end of 1830, Clapton’s resolutions were largely adopted</w:t>
      </w:r>
    </w:p>
    <w:p w:rsidR="00184EC0" w:rsidRDefault="00184EC0" w:rsidP="00B933EC">
      <w:pPr>
        <w:spacing w:line="228" w:lineRule="auto"/>
        <w:rPr>
          <w:rFonts w:ascii="Calibri" w:hAnsi="Calibri"/>
        </w:rPr>
      </w:pPr>
    </w:p>
    <w:p w:rsidR="00184EC0" w:rsidRDefault="00B933EC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>1824-1831</w:t>
      </w:r>
    </w:p>
    <w:p w:rsidR="00184EC0" w:rsidRDefault="00184EC0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 xml:space="preserve">Early 1831, Robert </w:t>
      </w:r>
      <w:proofErr w:type="spellStart"/>
      <w:r>
        <w:rPr>
          <w:rFonts w:ascii="Calibri" w:hAnsi="Calibri"/>
        </w:rPr>
        <w:t>Semple</w:t>
      </w:r>
      <w:proofErr w:type="spellEnd"/>
      <w:r>
        <w:rPr>
          <w:rFonts w:ascii="Calibri" w:hAnsi="Calibri"/>
        </w:rPr>
        <w:t xml:space="preserve"> had a committee examine baptism as preached by Reformers</w:t>
      </w:r>
    </w:p>
    <w:p w:rsidR="00184EC0" w:rsidRDefault="00184EC0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>Conclusion: Reformers erred by not asking about “experience”</w:t>
      </w:r>
    </w:p>
    <w:p w:rsidR="00184EC0" w:rsidRDefault="00184EC0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>Recommended withdrawal from all Reformers</w:t>
      </w:r>
    </w:p>
    <w:p w:rsidR="00184EC0" w:rsidRDefault="00184EC0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>Campbell called this the “</w:t>
      </w:r>
      <w:proofErr w:type="spellStart"/>
      <w:r>
        <w:rPr>
          <w:rFonts w:ascii="Calibri" w:hAnsi="Calibri"/>
        </w:rPr>
        <w:t>Semple</w:t>
      </w:r>
      <w:proofErr w:type="spellEnd"/>
      <w:r>
        <w:rPr>
          <w:rFonts w:ascii="Calibri" w:hAnsi="Calibri"/>
        </w:rPr>
        <w:t>-Broaddus decree”</w:t>
      </w:r>
    </w:p>
    <w:p w:rsidR="00184EC0" w:rsidRDefault="00184EC0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>Rest of 1831 was relatively quiet</w:t>
      </w:r>
    </w:p>
    <w:p w:rsidR="00184EC0" w:rsidRDefault="00184EC0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 xml:space="preserve">August 1832, Appomattox withdrew from </w:t>
      </w:r>
      <w:proofErr w:type="spellStart"/>
      <w:r>
        <w:rPr>
          <w:rFonts w:ascii="Calibri" w:hAnsi="Calibri"/>
        </w:rPr>
        <w:t>Meherrin</w:t>
      </w:r>
      <w:proofErr w:type="spellEnd"/>
      <w:r>
        <w:rPr>
          <w:rFonts w:ascii="Calibri" w:hAnsi="Calibri"/>
        </w:rPr>
        <w:t>, Goshen followed</w:t>
      </w:r>
    </w:p>
    <w:p w:rsidR="00184EC0" w:rsidRDefault="00184EC0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 xml:space="preserve">October 1832, Dover met, “Dover decrees” drawn up to </w:t>
      </w:r>
      <w:proofErr w:type="spellStart"/>
      <w:r>
        <w:rPr>
          <w:rFonts w:ascii="Calibri" w:hAnsi="Calibri"/>
        </w:rPr>
        <w:t>disfellowship</w:t>
      </w:r>
      <w:proofErr w:type="spellEnd"/>
      <w:r>
        <w:rPr>
          <w:rFonts w:ascii="Calibri" w:hAnsi="Calibri"/>
        </w:rPr>
        <w:t xml:space="preserve"> all Reformers</w:t>
      </w:r>
    </w:p>
    <w:p w:rsidR="00184EC0" w:rsidRDefault="00184EC0" w:rsidP="00B933EC">
      <w:pPr>
        <w:spacing w:line="228" w:lineRule="auto"/>
        <w:rPr>
          <w:rFonts w:ascii="Calibri" w:hAnsi="Calibri"/>
        </w:rPr>
      </w:pPr>
    </w:p>
    <w:p w:rsidR="00184EC0" w:rsidRDefault="00B933EC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>1824-1831</w:t>
      </w:r>
    </w:p>
    <w:p w:rsidR="00184EC0" w:rsidRDefault="00184EC0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>Thus the Reform had spread among the Baptist churches</w:t>
      </w:r>
    </w:p>
    <w:p w:rsidR="00184EC0" w:rsidRDefault="00184EC0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>Kentucky is good example: in North District</w:t>
      </w:r>
      <w:r w:rsidR="004525FA">
        <w:rPr>
          <w:rFonts w:ascii="Calibri" w:hAnsi="Calibri"/>
        </w:rPr>
        <w:t xml:space="preserve"> Association</w:t>
      </w:r>
      <w:r>
        <w:rPr>
          <w:rFonts w:ascii="Calibri" w:hAnsi="Calibri"/>
        </w:rPr>
        <w:t xml:space="preserve"> Reformers controlled 3 churches out of </w:t>
      </w:r>
      <w:proofErr w:type="gramStart"/>
      <w:r>
        <w:rPr>
          <w:rFonts w:ascii="Calibri" w:hAnsi="Calibri"/>
        </w:rPr>
        <w:t>24,</w:t>
      </w:r>
      <w:proofErr w:type="gramEnd"/>
      <w:r>
        <w:rPr>
          <w:rFonts w:ascii="Calibri" w:hAnsi="Calibri"/>
        </w:rPr>
        <w:t xml:space="preserve"> and 5 new churches were added with 900 immersions in 1827</w:t>
      </w:r>
    </w:p>
    <w:p w:rsidR="004525FA" w:rsidRDefault="00184EC0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>1828, there were problems in the Bracken Association with the Reformers</w:t>
      </w:r>
    </w:p>
    <w:p w:rsidR="00184EC0" w:rsidRDefault="004525FA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>1828, Boone’s Creek Association, 870 additions, 13 churches in association, adopted resolution to take the Bible only as a guide, 7 churches accepted, association split in 1830</w:t>
      </w:r>
    </w:p>
    <w:p w:rsidR="004525FA" w:rsidRDefault="004525FA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>1829, Tate’s Creek Association was controlled by the Reformers</w:t>
      </w:r>
    </w:p>
    <w:p w:rsidR="004525FA" w:rsidRDefault="004525FA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>Because Baptist Association feared losing to Reformers, wrote “Beaver Anathema”</w:t>
      </w:r>
    </w:p>
    <w:p w:rsidR="004525FA" w:rsidRDefault="004525FA" w:rsidP="00B933EC">
      <w:pPr>
        <w:spacing w:line="228" w:lineRule="auto"/>
        <w:rPr>
          <w:rFonts w:ascii="Calibri" w:hAnsi="Calibri"/>
        </w:rPr>
      </w:pPr>
    </w:p>
    <w:p w:rsidR="004525FA" w:rsidRDefault="004525FA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>Beaver Anathema accusations</w:t>
      </w:r>
    </w:p>
    <w:p w:rsidR="004525FA" w:rsidRDefault="004525FA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>No salvation without baptism</w:t>
      </w:r>
    </w:p>
    <w:p w:rsidR="004525FA" w:rsidRDefault="004525FA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>Baptism is administered on BELIEF of Jesus Christ as the Son of God only</w:t>
      </w:r>
    </w:p>
    <w:p w:rsidR="004525FA" w:rsidRDefault="004525FA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>No direct operation of Holy Spirit prior to baptism</w:t>
      </w:r>
    </w:p>
    <w:p w:rsidR="004525FA" w:rsidRDefault="004525FA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>Man’s obedience places him in God’s power to elect him to salvation</w:t>
      </w:r>
    </w:p>
    <w:p w:rsidR="004525FA" w:rsidRDefault="004525FA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>No creed exists for the church</w:t>
      </w:r>
    </w:p>
    <w:p w:rsidR="004525FA" w:rsidRDefault="004525FA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>All baptized believers may administer baptism</w:t>
      </w:r>
    </w:p>
    <w:p w:rsidR="004525FA" w:rsidRDefault="004525FA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>Tate’s Creek added fur more accusations</w:t>
      </w:r>
    </w:p>
    <w:p w:rsidR="004525FA" w:rsidRDefault="00B933EC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</w:r>
      <w:r w:rsidR="004525FA">
        <w:rPr>
          <w:rFonts w:ascii="Calibri" w:hAnsi="Calibri"/>
        </w:rPr>
        <w:t>No specific call to ministry</w:t>
      </w:r>
    </w:p>
    <w:p w:rsidR="004525FA" w:rsidRDefault="00B933EC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</w:r>
      <w:r w:rsidR="004525FA">
        <w:rPr>
          <w:rFonts w:ascii="Calibri" w:hAnsi="Calibri"/>
        </w:rPr>
        <w:t>Law of Moses abolished</w:t>
      </w:r>
    </w:p>
    <w:p w:rsidR="004525FA" w:rsidRDefault="00B933EC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</w:r>
      <w:r w:rsidR="004525FA">
        <w:rPr>
          <w:rFonts w:ascii="Calibri" w:hAnsi="Calibri"/>
        </w:rPr>
        <w:t>Experimental religion is only enthusiasm</w:t>
      </w:r>
    </w:p>
    <w:p w:rsidR="004525FA" w:rsidRDefault="004525FA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>No mystery in the Scriptures</w:t>
      </w:r>
    </w:p>
    <w:p w:rsidR="004525FA" w:rsidRDefault="004525FA" w:rsidP="00B933EC">
      <w:pPr>
        <w:spacing w:line="228" w:lineRule="auto"/>
        <w:rPr>
          <w:rFonts w:ascii="Calibri" w:hAnsi="Calibri"/>
        </w:rPr>
      </w:pPr>
    </w:p>
    <w:p w:rsidR="00B933EC" w:rsidRDefault="00B933EC" w:rsidP="00B933EC">
      <w:pPr>
        <w:spacing w:line="228" w:lineRule="auto"/>
        <w:rPr>
          <w:rFonts w:ascii="Calibri" w:hAnsi="Calibri"/>
        </w:rPr>
      </w:pPr>
    </w:p>
    <w:p w:rsidR="00B933EC" w:rsidRDefault="00B933EC" w:rsidP="00B933EC">
      <w:pPr>
        <w:spacing w:line="228" w:lineRule="auto"/>
        <w:rPr>
          <w:rFonts w:ascii="Calibri" w:hAnsi="Calibri"/>
        </w:rPr>
      </w:pPr>
    </w:p>
    <w:p w:rsidR="004525FA" w:rsidRDefault="00B933EC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lastRenderedPageBreak/>
        <w:t>1824-1831</w:t>
      </w:r>
    </w:p>
    <w:p w:rsidR="004525FA" w:rsidRDefault="004525FA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>1830, Elkhorn Association refused to recognize North District Association messengers, excluded 1470</w:t>
      </w:r>
    </w:p>
    <w:p w:rsidR="004525FA" w:rsidRDefault="004525FA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>1829, Franklin Association passed the “Beaver Anathema” to purify the church</w:t>
      </w:r>
    </w:p>
    <w:p w:rsidR="004525FA" w:rsidRDefault="004525FA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>1827-1831, according to Kentucky Baptist History, 10000 left the Baptist church for the Reformers</w:t>
      </w:r>
    </w:p>
    <w:p w:rsidR="004525FA" w:rsidRDefault="004525FA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>Thus by 1830s, the movement was launched and growing</w:t>
      </w:r>
    </w:p>
    <w:p w:rsidR="004525FA" w:rsidRPr="00F13114" w:rsidRDefault="004525FA" w:rsidP="00B933EC">
      <w:pPr>
        <w:spacing w:line="228" w:lineRule="auto"/>
        <w:rPr>
          <w:rFonts w:ascii="Calibri" w:hAnsi="Calibri"/>
        </w:rPr>
      </w:pPr>
      <w:r>
        <w:rPr>
          <w:rFonts w:ascii="Calibri" w:hAnsi="Calibri"/>
        </w:rPr>
        <w:tab/>
        <w:t>January 1, 1832:  merger of Stone and Campbell movements</w:t>
      </w:r>
    </w:p>
    <w:sectPr w:rsidR="004525FA" w:rsidRPr="00F13114" w:rsidSect="004837C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A76" w:rsidRDefault="00D15A76" w:rsidP="004525FA">
      <w:r>
        <w:separator/>
      </w:r>
    </w:p>
  </w:endnote>
  <w:endnote w:type="continuationSeparator" w:id="0">
    <w:p w:rsidR="00D15A76" w:rsidRDefault="00D15A76" w:rsidP="00452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A76" w:rsidRDefault="00D15A76" w:rsidP="004525FA">
      <w:r>
        <w:separator/>
      </w:r>
    </w:p>
  </w:footnote>
  <w:footnote w:type="continuationSeparator" w:id="0">
    <w:p w:rsidR="00D15A76" w:rsidRDefault="00D15A76" w:rsidP="004525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5FA" w:rsidRDefault="004525F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A16"/>
    <w:multiLevelType w:val="hybridMultilevel"/>
    <w:tmpl w:val="26F83AC0"/>
    <w:lvl w:ilvl="0" w:tplc="9D6CC5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8618A"/>
    <w:multiLevelType w:val="hybridMultilevel"/>
    <w:tmpl w:val="6BBA512A"/>
    <w:lvl w:ilvl="0" w:tplc="E2B4A1C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61270"/>
    <w:multiLevelType w:val="hybridMultilevel"/>
    <w:tmpl w:val="59E4F502"/>
    <w:lvl w:ilvl="0" w:tplc="973C77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C0BE8"/>
    <w:multiLevelType w:val="hybridMultilevel"/>
    <w:tmpl w:val="D6C847CC"/>
    <w:lvl w:ilvl="0" w:tplc="C43A7A7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A4DBE"/>
    <w:multiLevelType w:val="hybridMultilevel"/>
    <w:tmpl w:val="F52E8B4E"/>
    <w:lvl w:ilvl="0" w:tplc="7A84A74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12B79"/>
    <w:multiLevelType w:val="hybridMultilevel"/>
    <w:tmpl w:val="9BC2DFDE"/>
    <w:lvl w:ilvl="0" w:tplc="E5B8773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73B1C"/>
    <w:multiLevelType w:val="hybridMultilevel"/>
    <w:tmpl w:val="AB00AFBC"/>
    <w:lvl w:ilvl="0" w:tplc="CE9264CE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95735C"/>
    <w:multiLevelType w:val="hybridMultilevel"/>
    <w:tmpl w:val="B49EA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A13C97"/>
    <w:multiLevelType w:val="hybridMultilevel"/>
    <w:tmpl w:val="F0267C04"/>
    <w:lvl w:ilvl="0" w:tplc="7FEC008A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45A46B86"/>
    <w:multiLevelType w:val="multilevel"/>
    <w:tmpl w:val="6988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BE0BE8"/>
    <w:multiLevelType w:val="multilevel"/>
    <w:tmpl w:val="F23A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104417"/>
    <w:multiLevelType w:val="hybridMultilevel"/>
    <w:tmpl w:val="D22A1BA0"/>
    <w:lvl w:ilvl="0" w:tplc="9384C67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8571C8"/>
    <w:multiLevelType w:val="hybridMultilevel"/>
    <w:tmpl w:val="5574DE12"/>
    <w:lvl w:ilvl="0" w:tplc="D0ACF4D0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>
    <w:nsid w:val="5E907EA1"/>
    <w:multiLevelType w:val="hybridMultilevel"/>
    <w:tmpl w:val="96B87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A62E9"/>
    <w:multiLevelType w:val="hybridMultilevel"/>
    <w:tmpl w:val="C666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906F18"/>
    <w:multiLevelType w:val="hybridMultilevel"/>
    <w:tmpl w:val="4112BC58"/>
    <w:lvl w:ilvl="0" w:tplc="F4A28C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F136A"/>
    <w:multiLevelType w:val="multilevel"/>
    <w:tmpl w:val="DF520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410C64"/>
    <w:multiLevelType w:val="hybridMultilevel"/>
    <w:tmpl w:val="61161102"/>
    <w:lvl w:ilvl="0" w:tplc="BF36F51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AF169D"/>
    <w:multiLevelType w:val="hybridMultilevel"/>
    <w:tmpl w:val="B12C9238"/>
    <w:lvl w:ilvl="0" w:tplc="A6C8B3B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581F0A"/>
    <w:multiLevelType w:val="hybridMultilevel"/>
    <w:tmpl w:val="AB6E0D80"/>
    <w:lvl w:ilvl="0" w:tplc="7C24ECB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12"/>
  </w:num>
  <w:num w:numId="7">
    <w:abstractNumId w:val="17"/>
  </w:num>
  <w:num w:numId="8">
    <w:abstractNumId w:val="19"/>
  </w:num>
  <w:num w:numId="9">
    <w:abstractNumId w:val="4"/>
  </w:num>
  <w:num w:numId="10">
    <w:abstractNumId w:val="11"/>
  </w:num>
  <w:num w:numId="11">
    <w:abstractNumId w:val="5"/>
  </w:num>
  <w:num w:numId="12">
    <w:abstractNumId w:val="15"/>
  </w:num>
  <w:num w:numId="13">
    <w:abstractNumId w:val="2"/>
  </w:num>
  <w:num w:numId="14">
    <w:abstractNumId w:val="18"/>
  </w:num>
  <w:num w:numId="15">
    <w:abstractNumId w:val="1"/>
  </w:num>
  <w:num w:numId="16">
    <w:abstractNumId w:val="6"/>
  </w:num>
  <w:num w:numId="17">
    <w:abstractNumId w:val="9"/>
  </w:num>
  <w:num w:numId="18">
    <w:abstractNumId w:val="10"/>
  </w:num>
  <w:num w:numId="19">
    <w:abstractNumId w:val="13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stylePaneFormatFilter w:val="3F01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4C86"/>
    <w:rsid w:val="00023804"/>
    <w:rsid w:val="00055304"/>
    <w:rsid w:val="00084214"/>
    <w:rsid w:val="00092D70"/>
    <w:rsid w:val="000D0978"/>
    <w:rsid w:val="000F799E"/>
    <w:rsid w:val="0010756D"/>
    <w:rsid w:val="00131577"/>
    <w:rsid w:val="00135097"/>
    <w:rsid w:val="0015487C"/>
    <w:rsid w:val="00154F3F"/>
    <w:rsid w:val="00163ED1"/>
    <w:rsid w:val="00167EDC"/>
    <w:rsid w:val="00184EC0"/>
    <w:rsid w:val="001933C6"/>
    <w:rsid w:val="001B1ED6"/>
    <w:rsid w:val="001B39EB"/>
    <w:rsid w:val="001C256B"/>
    <w:rsid w:val="001C6A48"/>
    <w:rsid w:val="00216134"/>
    <w:rsid w:val="00237853"/>
    <w:rsid w:val="00245FF1"/>
    <w:rsid w:val="00280A40"/>
    <w:rsid w:val="00295811"/>
    <w:rsid w:val="002B1191"/>
    <w:rsid w:val="002C5A06"/>
    <w:rsid w:val="002F238D"/>
    <w:rsid w:val="00320A40"/>
    <w:rsid w:val="00321F24"/>
    <w:rsid w:val="00341E0F"/>
    <w:rsid w:val="00350832"/>
    <w:rsid w:val="00350884"/>
    <w:rsid w:val="00361828"/>
    <w:rsid w:val="003B7EA6"/>
    <w:rsid w:val="003E517E"/>
    <w:rsid w:val="00414C86"/>
    <w:rsid w:val="00421F73"/>
    <w:rsid w:val="0044529E"/>
    <w:rsid w:val="004525FA"/>
    <w:rsid w:val="004567B9"/>
    <w:rsid w:val="004732B3"/>
    <w:rsid w:val="004837CB"/>
    <w:rsid w:val="004C38EE"/>
    <w:rsid w:val="004D0383"/>
    <w:rsid w:val="0050634F"/>
    <w:rsid w:val="00565CC7"/>
    <w:rsid w:val="00576F75"/>
    <w:rsid w:val="00587CFD"/>
    <w:rsid w:val="005B31AA"/>
    <w:rsid w:val="005C3DF9"/>
    <w:rsid w:val="005D413D"/>
    <w:rsid w:val="005F18E1"/>
    <w:rsid w:val="005F7215"/>
    <w:rsid w:val="005F7ACC"/>
    <w:rsid w:val="00652D80"/>
    <w:rsid w:val="00653BCB"/>
    <w:rsid w:val="006B02F8"/>
    <w:rsid w:val="006B2346"/>
    <w:rsid w:val="006B2D7E"/>
    <w:rsid w:val="006C26F3"/>
    <w:rsid w:val="006C584E"/>
    <w:rsid w:val="00742550"/>
    <w:rsid w:val="00756EB2"/>
    <w:rsid w:val="00793B39"/>
    <w:rsid w:val="007A0238"/>
    <w:rsid w:val="007D433A"/>
    <w:rsid w:val="007F0B55"/>
    <w:rsid w:val="00827F7C"/>
    <w:rsid w:val="00867D7B"/>
    <w:rsid w:val="00886CD2"/>
    <w:rsid w:val="00892600"/>
    <w:rsid w:val="008A3BAA"/>
    <w:rsid w:val="008D1E31"/>
    <w:rsid w:val="008E04CE"/>
    <w:rsid w:val="009236AD"/>
    <w:rsid w:val="00971D81"/>
    <w:rsid w:val="009D661B"/>
    <w:rsid w:val="00A26AF0"/>
    <w:rsid w:val="00A314DF"/>
    <w:rsid w:val="00A40936"/>
    <w:rsid w:val="00A56141"/>
    <w:rsid w:val="00A65393"/>
    <w:rsid w:val="00A83D24"/>
    <w:rsid w:val="00A86054"/>
    <w:rsid w:val="00AA6F72"/>
    <w:rsid w:val="00AF42E2"/>
    <w:rsid w:val="00B05C7B"/>
    <w:rsid w:val="00B74E6C"/>
    <w:rsid w:val="00B933EC"/>
    <w:rsid w:val="00BA401F"/>
    <w:rsid w:val="00BD2037"/>
    <w:rsid w:val="00BD2312"/>
    <w:rsid w:val="00BD479F"/>
    <w:rsid w:val="00BD6A08"/>
    <w:rsid w:val="00C03CAC"/>
    <w:rsid w:val="00C274F7"/>
    <w:rsid w:val="00C279FF"/>
    <w:rsid w:val="00C3193E"/>
    <w:rsid w:val="00C85BC9"/>
    <w:rsid w:val="00C86AE6"/>
    <w:rsid w:val="00CA0C67"/>
    <w:rsid w:val="00CA6345"/>
    <w:rsid w:val="00D05462"/>
    <w:rsid w:val="00D14798"/>
    <w:rsid w:val="00D15A76"/>
    <w:rsid w:val="00D6398C"/>
    <w:rsid w:val="00D65F1A"/>
    <w:rsid w:val="00D75F91"/>
    <w:rsid w:val="00D81409"/>
    <w:rsid w:val="00D96382"/>
    <w:rsid w:val="00D96E3D"/>
    <w:rsid w:val="00DA1A71"/>
    <w:rsid w:val="00DA28A0"/>
    <w:rsid w:val="00DB44B0"/>
    <w:rsid w:val="00DB7910"/>
    <w:rsid w:val="00E44EC9"/>
    <w:rsid w:val="00E57B0B"/>
    <w:rsid w:val="00E772DC"/>
    <w:rsid w:val="00E81D21"/>
    <w:rsid w:val="00E92A40"/>
    <w:rsid w:val="00EA41CB"/>
    <w:rsid w:val="00EB0E8E"/>
    <w:rsid w:val="00ED1165"/>
    <w:rsid w:val="00ED39D7"/>
    <w:rsid w:val="00EE05FC"/>
    <w:rsid w:val="00F12E30"/>
    <w:rsid w:val="00F13114"/>
    <w:rsid w:val="00F500FD"/>
    <w:rsid w:val="00F67009"/>
    <w:rsid w:val="00F72344"/>
    <w:rsid w:val="00F7596F"/>
    <w:rsid w:val="00FA6D3F"/>
    <w:rsid w:val="00FD1AAC"/>
    <w:rsid w:val="00FD4DE9"/>
    <w:rsid w:val="00FE5B6E"/>
    <w:rsid w:val="00FF3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B5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20A4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67D7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867D7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7D7B"/>
    <w:pPr>
      <w:spacing w:after="120"/>
    </w:pPr>
    <w:rPr>
      <w:rFonts w:ascii="Verdana" w:hAnsi="Verdana"/>
      <w:color w:val="3333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67D7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67D7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867D7B"/>
    <w:rPr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semiHidden/>
    <w:rsid w:val="00867D7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octoggle">
    <w:name w:val="toctoggle"/>
    <w:basedOn w:val="DefaultParagraphFont"/>
    <w:rsid w:val="00867D7B"/>
  </w:style>
  <w:style w:type="character" w:customStyle="1" w:styleId="tocnumber2">
    <w:name w:val="tocnumber2"/>
    <w:basedOn w:val="DefaultParagraphFont"/>
    <w:rsid w:val="00867D7B"/>
  </w:style>
  <w:style w:type="character" w:customStyle="1" w:styleId="toctext">
    <w:name w:val="toctext"/>
    <w:basedOn w:val="DefaultParagraphFont"/>
    <w:rsid w:val="00867D7B"/>
  </w:style>
  <w:style w:type="character" w:customStyle="1" w:styleId="editsection">
    <w:name w:val="editsection"/>
    <w:basedOn w:val="DefaultParagraphFont"/>
    <w:rsid w:val="00867D7B"/>
  </w:style>
  <w:style w:type="character" w:customStyle="1" w:styleId="mw-headline">
    <w:name w:val="mw-headline"/>
    <w:basedOn w:val="DefaultParagraphFont"/>
    <w:rsid w:val="00867D7B"/>
  </w:style>
  <w:style w:type="character" w:customStyle="1" w:styleId="Heading1Char">
    <w:name w:val="Heading 1 Char"/>
    <w:basedOn w:val="DefaultParagraphFont"/>
    <w:link w:val="Heading1"/>
    <w:rsid w:val="00320A4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320A4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320A40"/>
    <w:rPr>
      <w:rFonts w:ascii="Arial" w:hAnsi="Arial" w:cs="Arial"/>
      <w:vanish/>
      <w:sz w:val="16"/>
      <w:szCs w:val="16"/>
    </w:rPr>
  </w:style>
  <w:style w:type="paragraph" w:customStyle="1" w:styleId="txt-sm">
    <w:name w:val="txt-sm"/>
    <w:basedOn w:val="Normal"/>
    <w:rsid w:val="00320A40"/>
    <w:pPr>
      <w:spacing w:before="100" w:beforeAutospacing="1" w:after="100" w:afterAutospacing="1"/>
    </w:p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320A4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320A40"/>
    <w:rPr>
      <w:rFonts w:ascii="Arial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320A40"/>
    <w:rPr>
      <w:b/>
      <w:bCs/>
    </w:rPr>
  </w:style>
  <w:style w:type="character" w:customStyle="1" w:styleId="keywordresultextras">
    <w:name w:val="keywordresultextras"/>
    <w:basedOn w:val="DefaultParagraphFont"/>
    <w:rsid w:val="00320A40"/>
  </w:style>
  <w:style w:type="paragraph" w:styleId="Header">
    <w:name w:val="header"/>
    <w:basedOn w:val="Normal"/>
    <w:link w:val="HeaderChar"/>
    <w:rsid w:val="004525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525FA"/>
    <w:rPr>
      <w:sz w:val="24"/>
      <w:szCs w:val="24"/>
    </w:rPr>
  </w:style>
  <w:style w:type="paragraph" w:styleId="Footer">
    <w:name w:val="footer"/>
    <w:basedOn w:val="Normal"/>
    <w:link w:val="FooterChar"/>
    <w:rsid w:val="004525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525F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6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8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9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26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2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5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19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49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093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28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08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507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070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13101">
                  <w:marLeft w:val="0"/>
                  <w:marRight w:val="0"/>
                  <w:marTop w:val="94"/>
                  <w:marBottom w:val="9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3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5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24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45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983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9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8" w:space="9" w:color="333333"/>
                <w:right w:val="single" w:sz="48" w:space="9" w:color="333333"/>
              </w:divBdr>
              <w:divsChild>
                <w:div w:id="924150899">
                  <w:marLeft w:val="486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2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94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46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85366-4956-4D94-A8A3-F0743233A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Restoration History</dc:title>
  <dc:subject>Lesson 7</dc:subject>
  <dc:creator>Bob Young</dc:creator>
  <cp:keywords>Alexander Campbell and the Baptists</cp:keywords>
  <dc:description/>
  <cp:lastModifiedBy>Bob Young</cp:lastModifiedBy>
  <cp:revision>8</cp:revision>
  <cp:lastPrinted>2014-04-23T21:38:00Z</cp:lastPrinted>
  <dcterms:created xsi:type="dcterms:W3CDTF">2014-04-23T20:09:00Z</dcterms:created>
  <dcterms:modified xsi:type="dcterms:W3CDTF">2014-04-24T17:16:00Z</dcterms:modified>
  <cp:category>additional notes</cp:category>
</cp:coreProperties>
</file>